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-6031</wp:posOffset>
                </wp:positionH>
                <wp:positionV relativeFrom="page">
                  <wp:posOffset>-5396</wp:posOffset>
                </wp:positionV>
                <wp:extent cx="10721975" cy="1095375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3237075"/>
                          <a:ext cx="10692000" cy="1085850"/>
                        </a:xfrm>
                        <a:prstGeom prst="rect">
                          <a:avLst/>
                        </a:prstGeom>
                        <a:solidFill>
                          <a:srgbClr val="008C4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520.000019073486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  <w:t xml:space="preserve">   Risk assessment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-6031</wp:posOffset>
                </wp:positionH>
                <wp:positionV relativeFrom="page">
                  <wp:posOffset>-5396</wp:posOffset>
                </wp:positionV>
                <wp:extent cx="10721975" cy="1095375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1975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pageBreakBefore w:val="0"/>
        <w:rPr>
          <w:rFonts w:ascii="Arial Narrow" w:cs="Arial Narrow" w:eastAsia="Arial Narrow" w:hAnsi="Arial Narrow"/>
          <w:b w:val="1"/>
          <w:color w:val="000000"/>
          <w:sz w:val="24"/>
          <w:szCs w:val="24"/>
          <w:shd w:fill="ffff99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  </w:t>
      </w:r>
      <w:r w:rsidDel="00000000" w:rsidR="00000000" w:rsidRPr="00000000">
        <w:rPr>
          <w:color w:val="000000"/>
          <w:rtl w:val="0"/>
        </w:rPr>
        <w:t xml:space="preserve">Company name: 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                                         </w:t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Date of risk assessment</w:t>
      </w:r>
      <w:r w:rsidDel="00000000" w:rsidR="00000000" w:rsidRPr="00000000">
        <w:rPr>
          <w:color w:val="000000"/>
          <w:rtl w:val="0"/>
        </w:rPr>
        <w:t xml:space="preserve">: 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     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shd w:fill="ffff99" w:val="clear"/>
          <w:rtl w:val="0"/>
        </w:rPr>
        <w:br w:type="textWrapping"/>
      </w:r>
    </w:p>
    <w:tbl>
      <w:tblPr>
        <w:tblStyle w:val="Table1"/>
        <w:tblW w:w="15870.0" w:type="dxa"/>
        <w:jc w:val="left"/>
        <w:tblInd w:w="142.0" w:type="dxa"/>
        <w:tblBorders>
          <w:top w:color="000000" w:space="0" w:sz="4" w:val="single"/>
          <w:left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5"/>
        <w:gridCol w:w="3315"/>
        <w:gridCol w:w="3675"/>
        <w:gridCol w:w="3120"/>
        <w:gridCol w:w="1425"/>
        <w:gridCol w:w="1410"/>
        <w:gridCol w:w="1140"/>
        <w:tblGridChange w:id="0">
          <w:tblGrid>
            <w:gridCol w:w="1785"/>
            <w:gridCol w:w="3315"/>
            <w:gridCol w:w="3675"/>
            <w:gridCol w:w="3120"/>
            <w:gridCol w:w="1425"/>
            <w:gridCol w:w="1410"/>
            <w:gridCol w:w="114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What are the hazards?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 might be harmed and how?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What are you already doing?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you need to do anything else to control this risk?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Action by who?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Action by when?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Done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  <w:tab/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134"/>
          <w:sz w:val="18"/>
          <w:szCs w:val="18"/>
          <w:u w:val="none"/>
          <w:shd w:fill="auto" w:val="clear"/>
          <w:vertAlign w:val="baseline"/>
        </w:rPr>
        <w:sectPr>
          <w:headerReference r:id="rId8" w:type="default"/>
          <w:pgSz w:h="11899" w:w="16838" w:orient="landscape"/>
          <w:pgMar w:bottom="0" w:top="0" w:left="397" w:right="284" w:header="227" w:footer="34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142" w:firstLine="0"/>
        <w:rPr/>
      </w:pPr>
      <w:r w:rsidDel="00000000" w:rsidR="00000000" w:rsidRPr="00000000">
        <w:rPr>
          <w:rtl w:val="0"/>
        </w:rPr>
        <w:t xml:space="preserve">For information specific to your industry please go to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http://www.hse.gov.uk</w:t>
        </w:r>
      </w:hyperlink>
      <w:hyperlink w:anchor="_heading=h.1fob9te">
        <w:r w:rsidDel="00000000" w:rsidR="00000000" w:rsidRPr="00000000">
          <w:rPr>
            <w:color w:val="0000ff"/>
            <w:u w:val="singl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142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For further information and to view our example risk assessments go to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http://www.hse.gov.uk/risk/casestudies/</w:t>
        </w:r>
      </w:hyperlink>
      <w:r w:rsidDel="00000000" w:rsidR="00000000" w:rsidRPr="00000000">
        <w:rPr>
          <w:rtl w:val="0"/>
        </w:rPr>
        <w:t xml:space="preserve">  </w:t>
      </w:r>
    </w:p>
    <w:sectPr>
      <w:type w:val="continuous"/>
      <w:pgSz w:h="11899" w:w="16838" w:orient="landscape"/>
      <w:pgMar w:bottom="0" w:top="0" w:left="397" w:right="284" w:header="227" w:footer="3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Bold w:fontKey="{00000000-0000-0000-0000-000000000000}" r:id="rId1" w:subsetted="0"/>
    <w:embedBoldItalic w:fontKey="{00000000-0000-0000-0000-000000000000}" r:id="rId2" w:subsetted="0"/>
  </w:font>
  <w:font w:name="Arial 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spacing w:line="440" w:lineRule="auto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44">
    <w:pPr>
      <w:pageBreakBefore w:val="0"/>
      <w:spacing w:line="440" w:lineRule="auto"/>
      <w:rPr>
        <w:b w:val="1"/>
        <w:color w:val="ffffff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="52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40" w:lineRule="auto"/>
    </w:pPr>
    <w:rPr>
      <w:rFonts w:ascii="Arial Narrow" w:cs="Arial Narrow" w:eastAsia="Arial Narrow" w:hAnsi="Arial Narrow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before="240" w:line="320" w:lineRule="auto"/>
    </w:pPr>
    <w:rPr>
      <w:rFonts w:ascii="Arial Bold" w:cs="Arial Bold" w:eastAsia="Arial Bold" w:hAnsi="Arial Bold"/>
      <w:color w:val="007134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0201"/>
    <w:pPr>
      <w:spacing w:line="240" w:lineRule="exact"/>
    </w:pPr>
    <w:rPr>
      <w:rFonts w:ascii="Arial" w:hAnsi="Arial"/>
      <w:sz w:val="18"/>
      <w:szCs w:val="24"/>
      <w:lang w:eastAsia="en-US" w:val="en-US"/>
    </w:rPr>
  </w:style>
  <w:style w:type="paragraph" w:styleId="Heading1">
    <w:name w:val="heading 1"/>
    <w:next w:val="Normal"/>
    <w:qFormat w:val="1"/>
    <w:rsid w:val="00EE0201"/>
    <w:pPr>
      <w:keepNext w:val="1"/>
      <w:spacing w:after="240" w:before="240" w:line="520" w:lineRule="exact"/>
      <w:outlineLvl w:val="0"/>
    </w:pPr>
    <w:rPr>
      <w:rFonts w:ascii="Arial Narrow Bold" w:hAnsi="Arial Narrow Bold"/>
      <w:kern w:val="32"/>
      <w:sz w:val="48"/>
      <w:szCs w:val="32"/>
      <w:lang w:eastAsia="en-US" w:val="en-US"/>
    </w:rPr>
  </w:style>
  <w:style w:type="paragraph" w:styleId="Heading2">
    <w:name w:val="heading 2"/>
    <w:basedOn w:val="Normal"/>
    <w:next w:val="Normal"/>
    <w:qFormat w:val="1"/>
    <w:rsid w:val="00EE0201"/>
    <w:pPr>
      <w:keepNext w:val="1"/>
      <w:spacing w:after="120" w:before="240"/>
      <w:outlineLvl w:val="1"/>
    </w:pPr>
    <w:rPr>
      <w:rFonts w:ascii="Arial Narrow Bold" w:hAnsi="Arial Narrow Bold"/>
      <w:sz w:val="32"/>
      <w:szCs w:val="28"/>
    </w:rPr>
  </w:style>
  <w:style w:type="paragraph" w:styleId="Heading3">
    <w:name w:val="heading 3"/>
    <w:basedOn w:val="Normal"/>
    <w:next w:val="Normal"/>
    <w:qFormat w:val="1"/>
    <w:rsid w:val="00EE0201"/>
    <w:pPr>
      <w:keepNext w:val="1"/>
      <w:spacing w:before="240" w:line="320" w:lineRule="exact"/>
      <w:outlineLvl w:val="2"/>
    </w:pPr>
    <w:rPr>
      <w:rFonts w:ascii="Arial Bold" w:hAnsi="Arial Bold"/>
      <w:color w:val="007134"/>
      <w:sz w:val="28"/>
      <w:szCs w:val="26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1Text" w:customStyle="1">
    <w:name w:val="1 Text"/>
    <w:basedOn w:val="Normal"/>
    <w:rsid w:val="00EE0201"/>
  </w:style>
  <w:style w:type="paragraph" w:styleId="Bulletstyle2" w:customStyle="1">
    <w:name w:val="Bullet style 2"/>
    <w:basedOn w:val="Bulletstyle"/>
    <w:rsid w:val="00EE0201"/>
    <w:pPr>
      <w:numPr>
        <w:numId w:val="1"/>
      </w:numPr>
    </w:pPr>
  </w:style>
  <w:style w:type="paragraph" w:styleId="Bulletstyle" w:customStyle="1">
    <w:name w:val="Bullet style"/>
    <w:basedOn w:val="Normal"/>
    <w:rsid w:val="00EE0201"/>
    <w:pPr>
      <w:numPr>
        <w:numId w:val="23"/>
      </w:numPr>
    </w:pPr>
    <w:rPr>
      <w:color w:val="000000"/>
    </w:rPr>
  </w:style>
  <w:style w:type="paragraph" w:styleId="Tabletextnarrow" w:customStyle="1">
    <w:name w:val="Table text (narrow)"/>
    <w:basedOn w:val="1Text"/>
    <w:rsid w:val="00EE0201"/>
    <w:rPr>
      <w:rFonts w:ascii="Arial Narrow" w:hAnsi="Arial Narrow"/>
    </w:rPr>
  </w:style>
  <w:style w:type="paragraph" w:styleId="Footer">
    <w:name w:val="footer"/>
    <w:basedOn w:val="Normal"/>
    <w:semiHidden w:val="1"/>
    <w:rsid w:val="00EE0201"/>
    <w:pPr>
      <w:tabs>
        <w:tab w:val="center" w:pos="4320"/>
        <w:tab w:val="right" w:pos="8640"/>
      </w:tabs>
    </w:pPr>
  </w:style>
  <w:style w:type="paragraph" w:styleId="TableNarrowBold" w:customStyle="1">
    <w:name w:val="Table (Narrow Bold)"/>
    <w:basedOn w:val="Tabletextnarrow"/>
    <w:rsid w:val="00EE0201"/>
    <w:rPr>
      <w:rFonts w:ascii="Arial Narrow Bold" w:hAnsi="Arial Narrow Bold"/>
    </w:rPr>
  </w:style>
  <w:style w:type="paragraph" w:styleId="tablebullet" w:customStyle="1">
    <w:name w:val="table bullet"/>
    <w:basedOn w:val="Normal"/>
    <w:rsid w:val="00EE0201"/>
    <w:pPr>
      <w:widowControl w:val="0"/>
      <w:numPr>
        <w:numId w:val="2"/>
      </w:numPr>
      <w:tabs>
        <w:tab w:val="left" w:pos="283"/>
      </w:tabs>
      <w:suppressAutoHyphens w:val="1"/>
      <w:autoSpaceDE w:val="0"/>
      <w:autoSpaceDN w:val="0"/>
      <w:adjustRightInd w:val="0"/>
      <w:spacing w:line="240" w:lineRule="atLeast"/>
      <w:textAlignment w:val="center"/>
    </w:pPr>
    <w:rPr>
      <w:rFonts w:ascii="Arial Narrow" w:hAnsi="Arial Narrow"/>
      <w:color w:val="000000"/>
      <w:sz w:val="20"/>
      <w:szCs w:val="18"/>
      <w:lang w:val="en-GB"/>
    </w:rPr>
  </w:style>
  <w:style w:type="character" w:styleId="Hyperlink">
    <w:name w:val="Hyperlink"/>
    <w:rsid w:val="00EE0201"/>
    <w:rPr>
      <w:color w:val="0000ff"/>
      <w:u w:val="single"/>
    </w:rPr>
  </w:style>
  <w:style w:type="paragraph" w:styleId="Header">
    <w:name w:val="header"/>
    <w:basedOn w:val="Normal"/>
    <w:rsid w:val="00EE020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57D87"/>
    <w:pPr>
      <w:spacing w:line="240" w:lineRule="exac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semiHidden w:val="1"/>
    <w:rsid w:val="00914E46"/>
    <w:pPr>
      <w:shd w:color="auto" w:fill="000080" w:val="clear"/>
    </w:pPr>
    <w:rPr>
      <w:rFonts w:ascii="Tahoma" w:cs="Tahoma" w:hAnsi="Tahoma"/>
      <w:sz w:val="20"/>
      <w:szCs w:val="20"/>
    </w:rPr>
  </w:style>
  <w:style w:type="character" w:styleId="Strong">
    <w:name w:val="Strong"/>
    <w:qFormat w:val="1"/>
    <w:rsid w:val="00F836FA"/>
    <w:rPr>
      <w:b w:val="1"/>
      <w:bCs w:val="1"/>
    </w:rPr>
  </w:style>
  <w:style w:type="character" w:styleId="FollowedHyperlink">
    <w:name w:val="FollowedHyperlink"/>
    <w:rsid w:val="00A34AF6"/>
    <w:rPr>
      <w:color w:val="800080"/>
      <w:u w:val="single"/>
    </w:rPr>
  </w:style>
  <w:style w:type="character" w:styleId="Emphasis">
    <w:name w:val="Emphasis"/>
    <w:qFormat w:val="1"/>
    <w:rsid w:val="00EE3FA5"/>
    <w:rPr>
      <w:i w:val="1"/>
      <w:iCs w:val="1"/>
    </w:rPr>
  </w:style>
  <w:style w:type="paragraph" w:styleId="BodyText">
    <w:name w:val="Body Text"/>
    <w:basedOn w:val="Normal"/>
    <w:rsid w:val="00242CA8"/>
    <w:pPr>
      <w:spacing w:after="120"/>
    </w:pPr>
  </w:style>
  <w:style w:type="paragraph" w:styleId="BalloonText">
    <w:name w:val="Balloon Text"/>
    <w:basedOn w:val="Normal"/>
    <w:semiHidden w:val="1"/>
    <w:rsid w:val="00016D7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hse.gov.uk/risk/casestudies/" TargetMode="External"/><Relationship Id="rId9" Type="http://schemas.openxmlformats.org/officeDocument/2006/relationships/hyperlink" Target="http://www.hse.gov.uk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bold.ttf"/><Relationship Id="rId2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rE3O7S9Dzr37jJ6zRxWJbtpjQ==">CgMxLjAyCGguZ2pkZ3hzMgloLjMwajB6bGw4AHIhMW0wcTI5T01DcU95WHlZdVhOdnFHOTN1bHNOMEpOVzQy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2019-04-02T10:27:00Z</dcterms:created>
  <dc:creator>ppaul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-967668523</vt:i4>
  </property>
  <property fmtid="{D5CDD505-2E9C-101B-9397-08002B2CF9AE}" pid="4" name="_EmailSubject">
    <vt:lpwstr>Word version of the combined health and safety policy and risk assessment template</vt:lpwstr>
  </property>
  <property fmtid="{D5CDD505-2E9C-101B-9397-08002B2CF9AE}" pid="5" name="_AuthorEmail">
    <vt:lpwstr>Patrick.Taylor@hse.gsi.gov.uk</vt:lpwstr>
  </property>
  <property fmtid="{D5CDD505-2E9C-101B-9397-08002B2CF9AE}" pid="6" name="_AuthorEmailDisplayName">
    <vt:lpwstr>Patrick Taylor</vt:lpwstr>
  </property>
  <property fmtid="{D5CDD505-2E9C-101B-9397-08002B2CF9AE}" pid="7" name="_PreviousAdHocReviewCycleID">
    <vt:i4>945206854</vt:i4>
  </property>
  <property fmtid="{D5CDD505-2E9C-101B-9397-08002B2CF9AE}" pid="8" name="_ReviewingToolsShownOnce">
    <vt:lpwstr/>
  </property>
</Properties>
</file>